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1" w:rsidRPr="004F2B67" w:rsidRDefault="00305B71" w:rsidP="00305B71">
      <w:pPr>
        <w:ind w:firstLine="284"/>
        <w:jc w:val="center"/>
        <w:rPr>
          <w:rFonts w:ascii="Times New Roman" w:hAnsi="Times New Roman" w:cs="Times New Roman"/>
          <w:b/>
          <w:sz w:val="32"/>
          <w:szCs w:val="24"/>
          <w:lang w:val="en-US"/>
        </w:rPr>
      </w:pPr>
      <w:r w:rsidRPr="004F2B67">
        <w:rPr>
          <w:rFonts w:ascii="Times New Roman" w:hAnsi="Times New Roman" w:cs="Times New Roman"/>
          <w:b/>
          <w:sz w:val="32"/>
          <w:szCs w:val="24"/>
          <w:lang w:val="en-US"/>
        </w:rPr>
        <w:t>NEW EU ANTI-TAX AVOIDANCE DIRECTIVE</w:t>
      </w:r>
    </w:p>
    <w:p w:rsidR="00305B71" w:rsidRPr="004F2B67" w:rsidRDefault="00305B71" w:rsidP="00305B71">
      <w:pPr>
        <w:ind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On 12 July 2016 was adopted the Directive laying down new rules aimed against the typical tax avoidance strategies </w:t>
      </w:r>
      <w:bookmarkStart w:id="0" w:name="_GoBack"/>
      <w:bookmarkEnd w:id="0"/>
      <w:r w:rsidRPr="004F2B67">
        <w:rPr>
          <w:rFonts w:ascii="Times New Roman" w:hAnsi="Times New Roman" w:cs="Times New Roman"/>
          <w:sz w:val="28"/>
          <w:szCs w:val="28"/>
          <w:lang w:val="en-US"/>
        </w:rPr>
        <w:t xml:space="preserve">by the Council of the European Union. The Directive is based on the standards developed by the OECD as part of the Base Erosion and Profit Shifting (BEPS) project. </w:t>
      </w:r>
    </w:p>
    <w:p w:rsidR="00305B71" w:rsidRPr="004F2B67" w:rsidRDefault="00305B71" w:rsidP="00305B71">
      <w:pPr>
        <w:ind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The Directive covers the situation with companies, large multinational groups, which use the advantages of differences between tax systems of separate states to decrease their own tax burden and describe mechanisms of combatting such practices. The basic points of the Directive are as follows: </w:t>
      </w:r>
    </w:p>
    <w:p w:rsidR="004B5CB0" w:rsidRPr="004F2B67" w:rsidRDefault="00305B71" w:rsidP="004B5CB0">
      <w:pPr>
        <w:pStyle w:val="a3"/>
        <w:numPr>
          <w:ilvl w:val="0"/>
          <w:numId w:val="1"/>
        </w:numPr>
        <w:ind w:left="0"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Interest limitation rules: Multinational groups may reduce their tax burdens by group companies from low tax jurisdictions providing loans at high interest rates to their companies from jurisdictions with high corporate tax rates. The Directive stipulates that tax payers may deduct interest payments of up to 30% of the EBITDA (earnings before interest, taxes and amortization). </w:t>
      </w:r>
    </w:p>
    <w:p w:rsidR="004B5CB0" w:rsidRPr="004F2B67" w:rsidRDefault="004B5CB0" w:rsidP="004B5CB0">
      <w:pPr>
        <w:pStyle w:val="a3"/>
        <w:ind w:left="284"/>
        <w:jc w:val="both"/>
        <w:rPr>
          <w:rFonts w:ascii="Times New Roman" w:hAnsi="Times New Roman" w:cs="Times New Roman"/>
          <w:sz w:val="28"/>
          <w:szCs w:val="28"/>
          <w:lang w:val="en-US"/>
        </w:rPr>
      </w:pPr>
    </w:p>
    <w:p w:rsidR="004B5CB0" w:rsidRPr="004F2B67" w:rsidRDefault="00305B71" w:rsidP="004B5CB0">
      <w:pPr>
        <w:pStyle w:val="a3"/>
        <w:numPr>
          <w:ilvl w:val="0"/>
          <w:numId w:val="1"/>
        </w:numPr>
        <w:ind w:left="0"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Exit taxation rules: Companies may be artificially exempted from corporate tax by shifting their tax residence and/or assets to low-tax jurisdictions. The new rules stipulate that the asset market value shall be taxed at the time of its moving (or change of residency of the owner of the asset) from one Member State to any other state. </w:t>
      </w:r>
    </w:p>
    <w:p w:rsidR="004B5CB0" w:rsidRPr="004F2B67" w:rsidRDefault="004B5CB0" w:rsidP="004B5CB0">
      <w:pPr>
        <w:pStyle w:val="a3"/>
        <w:rPr>
          <w:rFonts w:ascii="Times New Roman" w:hAnsi="Times New Roman" w:cs="Times New Roman"/>
          <w:sz w:val="28"/>
          <w:szCs w:val="28"/>
          <w:lang w:val="en-US"/>
        </w:rPr>
      </w:pPr>
    </w:p>
    <w:p w:rsidR="004B5CB0" w:rsidRPr="004F2B67" w:rsidRDefault="00305B71" w:rsidP="004B5CB0">
      <w:pPr>
        <w:pStyle w:val="a3"/>
        <w:numPr>
          <w:ilvl w:val="0"/>
          <w:numId w:val="1"/>
        </w:numPr>
        <w:ind w:left="0"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General anti-abuse rule: Since national laws cannot cover all corporate tax planning schemes used by companies, the general anti-abuse rule is adopted to eliminate the negative tax consequences of transactions with the sole purpose of obtaining tax advantages. EU Member States are permitted to ignore any transactions or series of transactions without proper economic justification for tax purposes. However, economic justification is still a controversial concept. </w:t>
      </w:r>
    </w:p>
    <w:p w:rsidR="004B5CB0" w:rsidRPr="004F2B67" w:rsidRDefault="004B5CB0" w:rsidP="004B5CB0">
      <w:pPr>
        <w:pStyle w:val="a3"/>
        <w:rPr>
          <w:rFonts w:ascii="Times New Roman" w:hAnsi="Times New Roman" w:cs="Times New Roman"/>
          <w:sz w:val="28"/>
          <w:szCs w:val="28"/>
          <w:lang w:val="en-US"/>
        </w:rPr>
      </w:pPr>
    </w:p>
    <w:p w:rsidR="004B5CB0" w:rsidRPr="004F2B67" w:rsidRDefault="00305B71" w:rsidP="004B5CB0">
      <w:pPr>
        <w:pStyle w:val="a3"/>
        <w:numPr>
          <w:ilvl w:val="0"/>
          <w:numId w:val="1"/>
        </w:numPr>
        <w:ind w:left="0"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Controlled foreign company (CFC) rules: To reduce their tax obligations, companies may set up controlled foreign companies (hereinafter – the CFC) in low-tax jurisdictions or in those with tax exemptions regarding certain types of income, and to transfer large amounts of profit to these CFCs. The Directive obliges the Member States to tax: </w:t>
      </w:r>
    </w:p>
    <w:p w:rsidR="004B5CB0" w:rsidRPr="004F2B67" w:rsidRDefault="00305B71" w:rsidP="004B5CB0">
      <w:pPr>
        <w:pStyle w:val="a3"/>
        <w:numPr>
          <w:ilvl w:val="0"/>
          <w:numId w:val="2"/>
        </w:numPr>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Undistributed passive (e.g. s interest, royalties) and some other categories of income of subsidiaries located in the said jurisdictions, if the CFC does not exercise any real economic activity or if it is located in a state outside the European Economic Area, or </w:t>
      </w:r>
      <w:r w:rsidRPr="004F2B67">
        <w:rPr>
          <w:rFonts w:ascii="Times New Roman" w:hAnsi="Times New Roman" w:cs="Times New Roman"/>
          <w:sz w:val="28"/>
          <w:szCs w:val="28"/>
          <w:lang w:val="en-US"/>
        </w:rPr>
        <w:sym w:font="Symbol" w:char="F0FC"/>
      </w:r>
    </w:p>
    <w:p w:rsidR="004B5CB0" w:rsidRPr="004F2B67" w:rsidRDefault="00305B71" w:rsidP="004B5CB0">
      <w:pPr>
        <w:pStyle w:val="a3"/>
        <w:numPr>
          <w:ilvl w:val="0"/>
          <w:numId w:val="2"/>
        </w:numPr>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lastRenderedPageBreak/>
        <w:t xml:space="preserve"> Undistributed income of subsidiaries located in the said jurisdictions resulting from transactions without any adequate economic justification, if the main commercial decisions are passed by the parent company. </w:t>
      </w:r>
    </w:p>
    <w:p w:rsidR="004B5CB0" w:rsidRPr="004F2B67" w:rsidRDefault="004B5CB0" w:rsidP="004B5CB0">
      <w:pPr>
        <w:pStyle w:val="a3"/>
        <w:ind w:left="1004"/>
        <w:jc w:val="both"/>
        <w:rPr>
          <w:rFonts w:ascii="Times New Roman" w:hAnsi="Times New Roman" w:cs="Times New Roman"/>
          <w:sz w:val="28"/>
          <w:szCs w:val="28"/>
          <w:lang w:val="en-US"/>
        </w:rPr>
      </w:pPr>
    </w:p>
    <w:p w:rsidR="004B5CB0" w:rsidRPr="004F2B67" w:rsidRDefault="00305B71" w:rsidP="004B5CB0">
      <w:pPr>
        <w:pStyle w:val="a3"/>
        <w:numPr>
          <w:ilvl w:val="0"/>
          <w:numId w:val="1"/>
        </w:numPr>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Rules on hybrid mismatches: Corporate tax payers may benefit from differences between national rules for interpreting certain types of transactions to reduce their overall tax liabilities. Such situations may result in double non-taxation of income (its deduction in both countries) or non-taxation of income in one country and its deduction in another country. It is established that the right to deduct certain types of payments arises only if the recipient's country treats such payments as taxable income. </w:t>
      </w:r>
    </w:p>
    <w:p w:rsidR="005F31DC" w:rsidRPr="004F2B67" w:rsidRDefault="00305B71" w:rsidP="0083608E">
      <w:pPr>
        <w:ind w:firstLine="284"/>
        <w:jc w:val="both"/>
        <w:rPr>
          <w:rFonts w:ascii="Times New Roman" w:hAnsi="Times New Roman" w:cs="Times New Roman"/>
          <w:sz w:val="28"/>
          <w:szCs w:val="28"/>
          <w:lang w:val="en-US"/>
        </w:rPr>
      </w:pPr>
      <w:r w:rsidRPr="004F2B67">
        <w:rPr>
          <w:rFonts w:ascii="Times New Roman" w:hAnsi="Times New Roman" w:cs="Times New Roman"/>
          <w:sz w:val="28"/>
          <w:szCs w:val="28"/>
          <w:lang w:val="en-US"/>
        </w:rPr>
        <w:t xml:space="preserve">The Member States will have time until 31 December 2018 to transpose the above rules into their national law, except for the exit taxation rules, for which they will have time until 31 December 2019, while the interest limitation rules should be implemented by 1 January 2024. </w:t>
      </w:r>
    </w:p>
    <w:sectPr w:rsidR="005F31DC" w:rsidRPr="004F2B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CB3"/>
    <w:multiLevelType w:val="hybridMultilevel"/>
    <w:tmpl w:val="6A3014BE"/>
    <w:lvl w:ilvl="0" w:tplc="E686243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642656A2"/>
    <w:multiLevelType w:val="hybridMultilevel"/>
    <w:tmpl w:val="A8C074F6"/>
    <w:lvl w:ilvl="0" w:tplc="075CBDE8">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1"/>
    <w:rsid w:val="001D07F9"/>
    <w:rsid w:val="00305B71"/>
    <w:rsid w:val="004B5CB0"/>
    <w:rsid w:val="004F2B67"/>
    <w:rsid w:val="00581F48"/>
    <w:rsid w:val="005F31DC"/>
    <w:rsid w:val="00771457"/>
    <w:rsid w:val="0083608E"/>
    <w:rsid w:val="00911E6C"/>
    <w:rsid w:val="00D8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2174</Words>
  <Characters>1240</Characters>
  <Application>Microsoft Office Word</Application>
  <DocSecurity>0</DocSecurity>
  <Lines>10</Lines>
  <Paragraphs>6</Paragraphs>
  <ScaleCrop>false</ScaleCrop>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Walton</cp:lastModifiedBy>
  <cp:revision>7</cp:revision>
  <dcterms:created xsi:type="dcterms:W3CDTF">2016-08-19T10:21:00Z</dcterms:created>
  <dcterms:modified xsi:type="dcterms:W3CDTF">2016-08-19T15:00:00Z</dcterms:modified>
</cp:coreProperties>
</file>